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FA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 xml:space="preserve">Отчет по итогам проведения диагностической работы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</w:p>
    <w:p w:rsidR="00B46782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в 11А классе МОУ Гимназия №1</w:t>
      </w:r>
    </w:p>
    <w:p w:rsidR="00045CFA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045CFA" w:rsidRDefault="00045CFA" w:rsidP="00045CF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sz w:val="24"/>
          <w:szCs w:val="24"/>
        </w:rPr>
        <w:t xml:space="preserve">В </w:t>
      </w:r>
      <w:r w:rsidR="00FF29A5">
        <w:rPr>
          <w:rFonts w:ascii="Times New Roman" w:hAnsi="Times New Roman" w:cs="Times New Roman"/>
          <w:sz w:val="24"/>
          <w:szCs w:val="24"/>
        </w:rPr>
        <w:t>11</w:t>
      </w:r>
      <w:r w:rsidRPr="00045CFA">
        <w:rPr>
          <w:rFonts w:ascii="Times New Roman" w:hAnsi="Times New Roman" w:cs="Times New Roman"/>
          <w:sz w:val="24"/>
          <w:szCs w:val="24"/>
        </w:rPr>
        <w:t xml:space="preserve">А классе учащиеся на профильном уровне изучают предметы: обществознание, английский язык, информатика и ИКТ. Математика изучается на базовом уровне по УМК Алимова Ш.А., </w:t>
      </w:r>
      <w:proofErr w:type="spellStart"/>
      <w:r w:rsidRPr="00045CF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5CFA">
        <w:rPr>
          <w:rFonts w:ascii="Times New Roman" w:hAnsi="Times New Roman" w:cs="Times New Roman"/>
          <w:sz w:val="24"/>
          <w:szCs w:val="24"/>
        </w:rPr>
        <w:t xml:space="preserve"> Л.С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578" w:rsidRDefault="00D01578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5CFA" w:rsidRDefault="00045CFA" w:rsidP="00045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1578">
        <w:rPr>
          <w:rFonts w:ascii="Times New Roman" w:hAnsi="Times New Roman" w:cs="Times New Roman"/>
          <w:sz w:val="24"/>
          <w:szCs w:val="24"/>
        </w:rPr>
        <w:t>Содержание работы соответствует федеральному компоненту</w:t>
      </w:r>
      <w:r w:rsidR="00D01578" w:rsidRPr="00D01578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и реализуемому УМК.</w:t>
      </w:r>
    </w:p>
    <w:p w:rsid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диагностики, в соответствии со спецификацией диагностической работы, проверялись следующие элементы содержания математического материала, которые должны быть усвоены обучающимися 11-го класса для прохождения государственной итоговой аттестации:</w:t>
      </w:r>
      <w:proofErr w:type="gramEnd"/>
    </w:p>
    <w:p w:rsidR="00D01578" w:rsidRP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P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действия с геометрическими фигурами, координатами и векторами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P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вычисления и преобразования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P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решать уравнения и неравенства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P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действия с функциями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Default="00D01578" w:rsidP="00D0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строить и исследовать простейшие математические модели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1578" w:rsidRDefault="00D01578" w:rsidP="00D0157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578" w:rsidRPr="00F44008" w:rsidRDefault="00D01578" w:rsidP="00D0157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008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математике: </w:t>
      </w:r>
    </w:p>
    <w:p w:rsidR="00D01578" w:rsidRPr="00F4400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математике состояла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частей и включала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21 задание, различающихся 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уровнем сложности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1578" w:rsidRPr="00F4400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заданий (задания 1 – 8). Из них: 4 задания с выбором ответа, 4 заданий с кратким числовым ответом.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содержала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заданий (9-15). Из них: 3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 выбором ответа, 4 задания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кратким числовым ответом.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содержала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задания (задания 16 – 18) с кратким числовым ответом.</w:t>
      </w:r>
    </w:p>
    <w:p w:rsidR="00D01578" w:rsidRPr="00F4400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проверяли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практических математических знаний и учений базового уровня.</w:t>
      </w:r>
    </w:p>
    <w:p w:rsidR="00D01578" w:rsidRPr="00F44008" w:rsidRDefault="00D01578" w:rsidP="00D01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с выбором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варианта ответа, из которых верен только один.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выполненным, если ученик отметил номер правильного ответа.</w:t>
      </w:r>
    </w:p>
    <w:p w:rsidR="00D01578" w:rsidRPr="00F4400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 кратким ответом считалось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выполненным, если верный ответ зафиксирован в той форме, которая предусмотрена инструкцией по выполнению задания. Ответом на задания частей 1, 2 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являлось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целое число или конечная десятичная дробь.</w:t>
      </w:r>
    </w:p>
    <w:p w:rsidR="00D0157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4 содержала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задания по материалу курса математики средней школы, проверяющие уровень профильной математической подготовки. Все задания (задания 19-21)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 с развёрнутым ответом.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диагностической работы 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 (не менее 6 баллов за задания первой и второй частей, с 1 по 15 задание), достижение которого свидетельствует о наличии общематематических умений. Задания 1, 2, 3 частей проверяют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конструкциях. 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более эффективной проверки готовности выпускников к государственной итоговой аттестации в диагностическую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задания повышенного уровня (задания 19-21). Задания части 4 работы предназначены для проверки знаний на том уровне требований, который предъявляется высшими учебными заведениями.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№№ 1, 2,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7, 9, 10, 12, 13 представляли 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типовые задания государственной итоговой аттестации. Задания с развернутым ответом аналогичны заданиям ЕГЭ второй части: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задание 19 – часть задания С3; 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20 – аналог задания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1578" w:rsidRPr="001A1B42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21 – аналог задания С</w:t>
      </w:r>
      <w:proofErr w:type="gramStart"/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578" w:rsidRPr="00F4400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расположены по нарастающему уровню сложности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соблюдены все пропорции соответствующих заданий ЕГЭ.  Процент выполнения этих заданий дает возможность оценить объем заданий первой и второй части ЕГЭ, который учащийся может решить на данный момент. При этом</w:t>
      </w:r>
      <w:proofErr w:type="gramStart"/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заданий, вместо 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ычного краткого ответа, содержала</w:t>
      </w:r>
      <w:r w:rsidRPr="001A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ответа. Это дает учащимся возможность проверить результат, который они получили во время решения.</w:t>
      </w:r>
    </w:p>
    <w:p w:rsidR="00D01578" w:rsidRDefault="00D01578" w:rsidP="00D01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Диагностическая работа проводилась в течение 100 минут, дополнительного оборудования не требовалось.</w:t>
      </w:r>
    </w:p>
    <w:p w:rsidR="00BD40FE" w:rsidRDefault="00BD40FE" w:rsidP="00BD4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задания,  различных уровней сложности:  базового и повышенного. Задания базового уровня включены в части 1 и 3 работы (№№ 1-18). Это задания, проверяющие усвоение наиболее важных математических понятий.</w:t>
      </w: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повышенного уровня включены в часть 4  работы (№№ 19-21).  Эти задания направлены на проверку умения использовать понятия и законы для решения различных задач.</w:t>
      </w: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заданий работы по уровню сложности.</w:t>
      </w: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  <w:r w:rsidRPr="00BD40FE"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  <w:t>Распределение заданий по уровню сложности</w:t>
      </w:r>
    </w:p>
    <w:p w:rsidR="00BD40FE" w:rsidRPr="00BD40FE" w:rsidRDefault="00BD40FE" w:rsidP="00BD40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332"/>
        <w:gridCol w:w="1955"/>
        <w:gridCol w:w="4638"/>
      </w:tblGrid>
      <w:tr w:rsidR="00BD40FE" w:rsidRPr="00BD40FE" w:rsidTr="00CE6EC2">
        <w:tc>
          <w:tcPr>
            <w:tcW w:w="793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BD4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ложности заданий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24</w:t>
            </w:r>
          </w:p>
        </w:tc>
      </w:tr>
      <w:tr w:rsidR="00BD40FE" w:rsidRPr="00BD40FE" w:rsidTr="00CE6EC2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75 %</w:t>
            </w:r>
          </w:p>
        </w:tc>
      </w:tr>
      <w:tr w:rsidR="00BD40FE" w:rsidRPr="00BD40FE" w:rsidTr="00CE6EC2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25 %</w:t>
            </w:r>
          </w:p>
        </w:tc>
      </w:tr>
      <w:tr w:rsidR="00BD40FE" w:rsidRPr="00BD40FE" w:rsidTr="00CE6EC2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</w:t>
            </w:r>
          </w:p>
        </w:tc>
      </w:tr>
    </w:tbl>
    <w:p w:rsidR="00BD40FE" w:rsidRDefault="00BD40FE" w:rsidP="00D01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0FE" w:rsidRDefault="00BD40FE" w:rsidP="00BD4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0FE" w:rsidRDefault="00BD40FE" w:rsidP="00BD4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1578" w:rsidRPr="00D0157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заданий №№ 1-18 оценивается 1 баллом.</w:t>
      </w:r>
    </w:p>
    <w:p w:rsidR="00D01578" w:rsidRDefault="00D01578" w:rsidP="00D015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заданий с развернутым ответом (задания №№ 19-21) оценивается  от 0 до 2 баллов. </w:t>
      </w:r>
    </w:p>
    <w:p w:rsidR="00D01578" w:rsidRPr="00D0157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балл за всю работу </w:t>
      </w:r>
      <w:r w:rsidRPr="00D01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24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балла.</w:t>
      </w:r>
    </w:p>
    <w:p w:rsidR="00D01578" w:rsidRPr="00D01578" w:rsidRDefault="00D01578" w:rsidP="00D015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работы выделяются уровни достижений. Критерии выделения индивидуальных уровней достижений учащихся 11 классов за выполнение диагностической работы по математике представлены в таблице.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BD40FE" w:rsidRDefault="00BD40FE" w:rsidP="00D0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FE" w:rsidRDefault="00BD40FE" w:rsidP="00D0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FE" w:rsidRDefault="00BD40FE" w:rsidP="00D0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FE" w:rsidRDefault="00BD40FE" w:rsidP="00D0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578" w:rsidRPr="00D01578" w:rsidRDefault="00D01578" w:rsidP="00D0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выделения индивидуальных уровней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667"/>
        <w:gridCol w:w="1667"/>
        <w:gridCol w:w="1667"/>
        <w:gridCol w:w="1667"/>
        <w:gridCol w:w="1665"/>
      </w:tblGrid>
      <w:tr w:rsidR="00D01578" w:rsidRPr="00D01578" w:rsidTr="00CE6EC2">
        <w:tc>
          <w:tcPr>
            <w:tcW w:w="646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70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D01578" w:rsidRPr="00D01578" w:rsidTr="00CE6EC2">
        <w:tc>
          <w:tcPr>
            <w:tcW w:w="646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 баллов</w:t>
            </w:r>
          </w:p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задания базового уровня 1 и 2 частей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баллов за задания базового уровня 1 и 2 частей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баллов за задания базового уровня 1, 2, 3 частей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18 баллов</w:t>
            </w:r>
          </w:p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задания базового уровня 1, 2, 3 частей и не менее 0,8 баллов за задания повышенного уровня из 4 части</w:t>
            </w:r>
          </w:p>
        </w:tc>
        <w:tc>
          <w:tcPr>
            <w:tcW w:w="870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18 баллов за задания базового уровня 1, 2, 3 частей и выполнение любого задания повышенного уровня из 4 части</w:t>
            </w:r>
          </w:p>
        </w:tc>
      </w:tr>
    </w:tbl>
    <w:p w:rsidR="00D01578" w:rsidRPr="00D01578" w:rsidRDefault="00D01578" w:rsidP="00D015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FE" w:rsidRPr="00BD40FE" w:rsidRDefault="00BD40FE" w:rsidP="00BD40FE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результатов выполнения диагностической работы</w:t>
      </w:r>
    </w:p>
    <w:p w:rsidR="00BD40FE" w:rsidRDefault="00BD40FE" w:rsidP="00BD4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B42">
        <w:rPr>
          <w:rFonts w:ascii="Times New Roman" w:hAnsi="Times New Roman" w:cs="Times New Roman"/>
          <w:sz w:val="24"/>
          <w:szCs w:val="24"/>
        </w:rPr>
        <w:t xml:space="preserve">Диагностическую работу выполняли 24 учащихся 11А класса. По уважительным </w:t>
      </w:r>
      <w:r>
        <w:rPr>
          <w:rFonts w:ascii="Times New Roman" w:hAnsi="Times New Roman" w:cs="Times New Roman"/>
          <w:sz w:val="24"/>
          <w:szCs w:val="24"/>
        </w:rPr>
        <w:t>причинам отсутствовало 3 ученика</w:t>
      </w:r>
      <w:r w:rsidRPr="001A1B42">
        <w:rPr>
          <w:rFonts w:ascii="Times New Roman" w:hAnsi="Times New Roman" w:cs="Times New Roman"/>
          <w:sz w:val="24"/>
          <w:szCs w:val="24"/>
        </w:rPr>
        <w:t>.</w:t>
      </w:r>
    </w:p>
    <w:p w:rsidR="00BD40FE" w:rsidRDefault="00BD40FE" w:rsidP="00BD4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порог преодолели все учащиеся. Выполнили 7-10 заданий базового уровня (низкое значение достижения уровня) – 41,7% учащихся.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выполнивших 11-15 заданий базового уровня составила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58,3% учащихся (базовое значение достижения уровня). </w:t>
      </w:r>
    </w:p>
    <w:p w:rsidR="00BD40FE" w:rsidRDefault="00BD40FE" w:rsidP="00BD4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FE" w:rsidRPr="000F51AD" w:rsidRDefault="00BD40FE" w:rsidP="00BD4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E" w:rsidRPr="000F51AD" w:rsidRDefault="00BD40FE" w:rsidP="00BD4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AD">
        <w:rPr>
          <w:rFonts w:ascii="Times New Roman" w:hAnsi="Times New Roman" w:cs="Times New Roman"/>
          <w:b/>
          <w:sz w:val="24"/>
          <w:szCs w:val="24"/>
        </w:rPr>
        <w:t>Результаты выполнения диагностической работы по математике</w:t>
      </w:r>
    </w:p>
    <w:p w:rsidR="00BD40FE" w:rsidRDefault="00BD40FE" w:rsidP="00BD40FE">
      <w:pPr>
        <w:pStyle w:val="a3"/>
        <w:spacing w:before="0" w:beforeAutospacing="0" w:after="0" w:afterAutospacing="0"/>
        <w:ind w:left="115"/>
        <w:textAlignment w:val="bottom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D40FE" w:rsidRDefault="00BD40FE" w:rsidP="00BD40FE">
      <w:pPr>
        <w:pStyle w:val="a3"/>
        <w:spacing w:before="0" w:beforeAutospacing="0" w:after="0" w:afterAutospacing="0"/>
        <w:ind w:left="115"/>
        <w:textAlignment w:val="botto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LINK Excel.SheetMacroEnabled.12 "K:\\Отправка_матем_13_12\\02_137001_1101 - копия.xlsm" "Общий ИТОГ!R7C1:R12C5" \a \f 4 \h  \* MERGEFORMAT </w:instrText>
      </w:r>
      <w:r>
        <w:rPr>
          <w:rFonts w:eastAsiaTheme="minorEastAsia"/>
        </w:rPr>
        <w:fldChar w:fldCharType="separat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325"/>
        <w:gridCol w:w="1219"/>
        <w:gridCol w:w="2027"/>
        <w:gridCol w:w="2019"/>
        <w:gridCol w:w="2095"/>
      </w:tblGrid>
      <w:tr w:rsidR="00BD40FE" w:rsidRPr="000F51AD" w:rsidTr="00CE6EC2">
        <w:trPr>
          <w:trHeight w:val="98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Части работ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Средний процент от максимального балла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BD40FE" w:rsidRPr="000F51AD" w:rsidTr="00CE6EC2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F51A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F51A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67,71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40FE" w:rsidRPr="000F51AD" w:rsidTr="00CE6EC2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40FE" w:rsidRPr="000F51AD" w:rsidTr="00CE6EC2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40FE" w:rsidRPr="000F51AD" w:rsidTr="00CE6EC2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40FE" w:rsidRPr="000F51AD" w:rsidTr="00CE6EC2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0FE" w:rsidRPr="000F51AD" w:rsidRDefault="00BD40FE" w:rsidP="00CE6E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F51A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D40FE" w:rsidRDefault="00BD40FE" w:rsidP="00BD40FE">
      <w:pPr>
        <w:pStyle w:val="a3"/>
        <w:spacing w:before="0" w:beforeAutospacing="0" w:after="0" w:afterAutospacing="0"/>
        <w:ind w:left="115"/>
        <w:textAlignment w:val="bottom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fldChar w:fldCharType="end"/>
      </w:r>
    </w:p>
    <w:p w:rsidR="00BD40FE" w:rsidRPr="000F51AD" w:rsidRDefault="00BD40FE" w:rsidP="00BD40FE">
      <w:pPr>
        <w:pStyle w:val="a3"/>
        <w:spacing w:before="0" w:beforeAutospacing="0" w:after="0" w:afterAutospacing="0"/>
        <w:ind w:left="115" w:firstLine="593"/>
        <w:textAlignment w:val="bottom"/>
        <w:rPr>
          <w:rFonts w:eastAsiaTheme="minorEastAsia"/>
          <w:bCs/>
          <w:color w:val="000000" w:themeColor="text1"/>
          <w:kern w:val="24"/>
        </w:rPr>
      </w:pPr>
      <w:r w:rsidRPr="000F51AD">
        <w:rPr>
          <w:rFonts w:eastAsiaTheme="minorEastAsia"/>
          <w:bCs/>
          <w:color w:val="000000" w:themeColor="text1"/>
          <w:kern w:val="24"/>
        </w:rPr>
        <w:t>Исходя из данных таблицы, средний балл составил 12,12 балла, максимальный балл за выполнение всех частей работы – 15,6, минимальный – 7 баллов. Средний процент выполнения от максимального балла за всю работу составил 50,5%.</w:t>
      </w:r>
    </w:p>
    <w:p w:rsidR="00D01578" w:rsidRDefault="00BD40FE" w:rsidP="00BD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приведенной ниже таблице представлены результаты выполнения заданий по контролируемым элементам.</w:t>
      </w: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977"/>
        <w:gridCol w:w="1559"/>
        <w:gridCol w:w="1437"/>
      </w:tblGrid>
      <w:tr w:rsidR="00D151D2" w:rsidRPr="00BD40FE" w:rsidTr="00D151D2">
        <w:trPr>
          <w:jc w:val="center"/>
        </w:trPr>
        <w:tc>
          <w:tcPr>
            <w:tcW w:w="1014" w:type="dxa"/>
          </w:tcPr>
          <w:p w:rsidR="00D151D2" w:rsidRPr="00BD40FE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5977" w:type="dxa"/>
          </w:tcPr>
          <w:p w:rsidR="00D151D2" w:rsidRPr="00BD40FE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151D2" w:rsidRPr="00BD40FE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D151D2" w:rsidRPr="00BD40FE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993" w:type="dxa"/>
          </w:tcPr>
          <w:p w:rsidR="00D151D2" w:rsidRPr="00BD40FE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проценты с практическим содержанием 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процессов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Вычисление площади четырехугольника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91,7%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значения выражения, содержащего корень степени </w:t>
            </w:r>
            <w:r w:rsidRPr="00D15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95,8%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Решение неравенства методом интервалов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функции по ее графику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100,0%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Задача на вычисление вероятности события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8,3%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Вычисление множества значений тригонометрической функции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Задача с практическим содержанием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100,0%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Применение физического смысла производной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151D2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91,7%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Применение метода координат в пространстве  к решению задач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производной сложной функции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95,8%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тригонометрического выражения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54,2%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Упрощение тригонометрических выражений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выражений, содержащих корень степени </w:t>
            </w:r>
            <w:r w:rsidRPr="00D15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12,5%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Нахождение элементов пирамиды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Решение показательного неравенства методом замены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0,0%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тригонометрического уравнения и отбор корней из заданного промежутка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4,2%</w:t>
            </w:r>
          </w:p>
        </w:tc>
      </w:tr>
      <w:tr w:rsidR="00D151D2" w:rsidRPr="00D151D2" w:rsidTr="00D151D2">
        <w:trPr>
          <w:jc w:val="center"/>
        </w:trPr>
        <w:tc>
          <w:tcPr>
            <w:tcW w:w="1014" w:type="dxa"/>
          </w:tcPr>
          <w:p w:rsidR="00D151D2" w:rsidRPr="00D151D2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77" w:type="dxa"/>
            <w:vAlign w:val="center"/>
          </w:tcPr>
          <w:p w:rsidR="00D151D2" w:rsidRPr="00D151D2" w:rsidRDefault="00D1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2">
              <w:rPr>
                <w:rFonts w:ascii="Times New Roman" w:hAnsi="Times New Roman" w:cs="Times New Roman"/>
                <w:sz w:val="24"/>
                <w:szCs w:val="24"/>
              </w:rPr>
              <w:t>Нахождение угла между плоскостями</w:t>
            </w:r>
          </w:p>
        </w:tc>
        <w:tc>
          <w:tcPr>
            <w:tcW w:w="1559" w:type="dxa"/>
            <w:vAlign w:val="center"/>
          </w:tcPr>
          <w:p w:rsidR="00D151D2" w:rsidRPr="00D151D2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vAlign w:val="center"/>
          </w:tcPr>
          <w:p w:rsidR="00D151D2" w:rsidRPr="00F46D30" w:rsidRDefault="00D15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6D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0,0%</w:t>
            </w:r>
          </w:p>
        </w:tc>
      </w:tr>
    </w:tbl>
    <w:p w:rsidR="00BD40FE" w:rsidRPr="00D151D2" w:rsidRDefault="00BD40FE" w:rsidP="00BD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78" w:rsidRPr="00D01578" w:rsidRDefault="00D151D2" w:rsidP="00D015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решаемость заданий базового уровня составляла 60-90%, повышенного уровня – 40-60%. </w:t>
      </w:r>
    </w:p>
    <w:p w:rsidR="00D01578" w:rsidRDefault="00F46D30" w:rsidP="00F46D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C6B6C">
        <w:rPr>
          <w:rFonts w:ascii="Times New Roman" w:hAnsi="Times New Roman" w:cs="Times New Roman"/>
          <w:sz w:val="24"/>
          <w:szCs w:val="24"/>
        </w:rPr>
        <w:t>критериям учащиеся 11А класса в</w:t>
      </w:r>
      <w:r>
        <w:rPr>
          <w:rFonts w:ascii="Times New Roman" w:hAnsi="Times New Roman" w:cs="Times New Roman"/>
          <w:sz w:val="24"/>
          <w:szCs w:val="24"/>
        </w:rPr>
        <w:t xml:space="preserve">ыполнили </w:t>
      </w:r>
      <w:r w:rsidR="007C6B6C">
        <w:rPr>
          <w:rFonts w:ascii="Times New Roman" w:hAnsi="Times New Roman" w:cs="Times New Roman"/>
          <w:sz w:val="24"/>
          <w:szCs w:val="24"/>
        </w:rPr>
        <w:t xml:space="preserve">базовые </w:t>
      </w:r>
      <w:r>
        <w:rPr>
          <w:rFonts w:ascii="Times New Roman" w:hAnsi="Times New Roman" w:cs="Times New Roman"/>
          <w:sz w:val="24"/>
          <w:szCs w:val="24"/>
        </w:rPr>
        <w:t>задания на различных уровнях:</w:t>
      </w:r>
    </w:p>
    <w:p w:rsidR="00F46D30" w:rsidRPr="00F46D30" w:rsidRDefault="00F46D30" w:rsidP="00F46D30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46D30">
        <w:rPr>
          <w:rFonts w:ascii="Times New Roman" w:hAnsi="Times New Roman"/>
          <w:b/>
          <w:sz w:val="24"/>
          <w:szCs w:val="24"/>
        </w:rPr>
        <w:t>Высокий уровень (90% и выше, правильно выполненных заданий</w:t>
      </w:r>
      <w:r w:rsidRPr="00F46D30">
        <w:rPr>
          <w:rFonts w:ascii="Times New Roman" w:hAnsi="Times New Roman"/>
        </w:rPr>
        <w:t>):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151D2">
        <w:rPr>
          <w:rFonts w:ascii="Times New Roman" w:hAnsi="Times New Roman"/>
          <w:sz w:val="24"/>
          <w:szCs w:val="24"/>
        </w:rPr>
        <w:t>ычисление площади четырехугольника</w:t>
      </w:r>
      <w:r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151D2">
        <w:rPr>
          <w:rFonts w:ascii="Times New Roman" w:hAnsi="Times New Roman"/>
          <w:sz w:val="24"/>
          <w:szCs w:val="24"/>
        </w:rPr>
        <w:t xml:space="preserve">ычисление значения выражения, содержащего корень степени </w:t>
      </w:r>
      <w:r w:rsidRPr="00D151D2"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151D2">
        <w:rPr>
          <w:rFonts w:ascii="Times New Roman" w:hAnsi="Times New Roman"/>
          <w:sz w:val="24"/>
          <w:szCs w:val="24"/>
        </w:rPr>
        <w:t>сследование свойств функции по ее графику</w:t>
      </w:r>
      <w:r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D151D2">
        <w:rPr>
          <w:rFonts w:ascii="Times New Roman" w:hAnsi="Times New Roman"/>
          <w:sz w:val="24"/>
          <w:szCs w:val="24"/>
        </w:rPr>
        <w:t>адача с практическим содержанием</w:t>
      </w:r>
      <w:r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151D2">
        <w:rPr>
          <w:rFonts w:ascii="Times New Roman" w:hAnsi="Times New Roman"/>
          <w:sz w:val="24"/>
          <w:szCs w:val="24"/>
        </w:rPr>
        <w:t xml:space="preserve">заимное расположение </w:t>
      </w:r>
      <w:proofErr w:type="gramStart"/>
      <w:r w:rsidRPr="00D151D2">
        <w:rPr>
          <w:rFonts w:ascii="Times New Roman" w:hAnsi="Times New Roman"/>
          <w:sz w:val="24"/>
          <w:szCs w:val="24"/>
        </w:rPr>
        <w:t>прямых</w:t>
      </w:r>
      <w:proofErr w:type="gramEnd"/>
      <w:r w:rsidRPr="00D151D2">
        <w:rPr>
          <w:rFonts w:ascii="Times New Roman" w:hAnsi="Times New Roman"/>
          <w:sz w:val="24"/>
          <w:szCs w:val="24"/>
        </w:rPr>
        <w:t xml:space="preserve"> в пространстве</w:t>
      </w:r>
      <w:r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151D2">
        <w:rPr>
          <w:rFonts w:ascii="Times New Roman" w:hAnsi="Times New Roman"/>
          <w:sz w:val="24"/>
          <w:szCs w:val="24"/>
        </w:rPr>
        <w:t>ычисление производной сложной функции</w:t>
      </w:r>
      <w:r>
        <w:rPr>
          <w:rFonts w:ascii="Times New Roman" w:hAnsi="Times New Roman"/>
          <w:sz w:val="24"/>
          <w:szCs w:val="24"/>
        </w:rPr>
        <w:t>.</w:t>
      </w:r>
    </w:p>
    <w:p w:rsid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46D30">
        <w:rPr>
          <w:rFonts w:ascii="Times New Roman" w:hAnsi="Times New Roman"/>
          <w:b/>
          <w:sz w:val="24"/>
          <w:szCs w:val="24"/>
        </w:rPr>
        <w:t>Средний уровень (60% - 90% правильно выполненных заданий):</w:t>
      </w:r>
    </w:p>
    <w:p w:rsidR="00F46D30" w:rsidRP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</w:t>
      </w:r>
      <w:r w:rsidRPr="00F46D30">
        <w:rPr>
          <w:rFonts w:ascii="Times New Roman" w:hAnsi="Times New Roman"/>
          <w:sz w:val="24"/>
          <w:szCs w:val="24"/>
        </w:rPr>
        <w:t>адача на проц</w:t>
      </w:r>
      <w:r>
        <w:rPr>
          <w:rFonts w:ascii="Times New Roman" w:hAnsi="Times New Roman"/>
          <w:sz w:val="24"/>
          <w:szCs w:val="24"/>
        </w:rPr>
        <w:t>енты с практическим содержанием;</w:t>
      </w:r>
    </w:p>
    <w:p w:rsid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</w:t>
      </w:r>
      <w:r w:rsidRPr="00F46D30">
        <w:rPr>
          <w:rFonts w:ascii="Times New Roman" w:hAnsi="Times New Roman"/>
          <w:sz w:val="24"/>
          <w:szCs w:val="24"/>
        </w:rPr>
        <w:t>тение графиков реальных процессов</w:t>
      </w:r>
      <w:r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151D2">
        <w:rPr>
          <w:rFonts w:ascii="Times New Roman" w:hAnsi="Times New Roman" w:cs="Times New Roman"/>
          <w:sz w:val="24"/>
          <w:szCs w:val="24"/>
        </w:rPr>
        <w:t>ешение неравенства методом интервалов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D30" w:rsidRP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46D30">
        <w:rPr>
          <w:rFonts w:ascii="Times New Roman" w:hAnsi="Times New Roman" w:cs="Times New Roman"/>
          <w:sz w:val="24"/>
          <w:szCs w:val="24"/>
        </w:rPr>
        <w:t>рименение метода координат в пространстве  к решению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46D30">
        <w:rPr>
          <w:rFonts w:ascii="Times New Roman" w:hAnsi="Times New Roman" w:cs="Times New Roman"/>
          <w:sz w:val="24"/>
          <w:szCs w:val="24"/>
        </w:rPr>
        <w:t>одобие треугольников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B6C" w:rsidRDefault="007C6B6C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151D2">
        <w:rPr>
          <w:rFonts w:ascii="Times New Roman" w:hAnsi="Times New Roman" w:cs="Times New Roman"/>
          <w:sz w:val="24"/>
          <w:szCs w:val="24"/>
        </w:rPr>
        <w:t>ахождение элементов пирамиды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B6C" w:rsidRDefault="007C6B6C" w:rsidP="007C6B6C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6B6C">
        <w:rPr>
          <w:rFonts w:ascii="Times New Roman" w:hAnsi="Times New Roman"/>
          <w:b/>
          <w:color w:val="000000"/>
          <w:sz w:val="24"/>
          <w:szCs w:val="24"/>
        </w:rPr>
        <w:t>Низкий уровень выполнения (</w:t>
      </w:r>
      <w:r>
        <w:rPr>
          <w:rFonts w:ascii="Times New Roman" w:hAnsi="Times New Roman"/>
          <w:b/>
          <w:color w:val="000000"/>
          <w:sz w:val="24"/>
          <w:szCs w:val="24"/>
        </w:rPr>
        <w:t>менее 60%):</w:t>
      </w:r>
    </w:p>
    <w:p w:rsidR="007C6B6C" w:rsidRP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B6C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C6B6C">
        <w:rPr>
          <w:rFonts w:ascii="Times New Roman" w:hAnsi="Times New Roman"/>
          <w:color w:val="000000"/>
          <w:sz w:val="24"/>
          <w:szCs w:val="24"/>
        </w:rPr>
        <w:t>адача на вычисление вероятности события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</w:t>
      </w:r>
      <w:r w:rsidRPr="007C6B6C">
        <w:rPr>
          <w:rFonts w:ascii="Times New Roman" w:hAnsi="Times New Roman"/>
          <w:color w:val="000000"/>
          <w:sz w:val="24"/>
          <w:szCs w:val="24"/>
        </w:rPr>
        <w:t>ычисление множества значений тригонометрической функции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C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51D2">
        <w:rPr>
          <w:rFonts w:ascii="Times New Roman" w:hAnsi="Times New Roman" w:cs="Times New Roman"/>
          <w:sz w:val="24"/>
          <w:szCs w:val="24"/>
        </w:rPr>
        <w:t>рименение физического смысла производной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B6C" w:rsidRP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7C6B6C">
        <w:rPr>
          <w:rFonts w:ascii="Times New Roman" w:hAnsi="Times New Roman" w:cs="Times New Roman"/>
          <w:sz w:val="24"/>
          <w:szCs w:val="24"/>
        </w:rPr>
        <w:t>ычисление значения тригонометрического выражения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B6C" w:rsidRP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7C6B6C">
        <w:rPr>
          <w:rFonts w:ascii="Times New Roman" w:hAnsi="Times New Roman" w:cs="Times New Roman"/>
          <w:sz w:val="24"/>
          <w:szCs w:val="24"/>
        </w:rPr>
        <w:t>прощение тригонометрических выражений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7C6B6C">
        <w:rPr>
          <w:rFonts w:ascii="Times New Roman" w:hAnsi="Times New Roman" w:cs="Times New Roman"/>
          <w:sz w:val="24"/>
          <w:szCs w:val="24"/>
        </w:rPr>
        <w:t>прощение выражений, содержащих корень степени 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B6C" w:rsidRP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заданиями повышенного уровня сложности учащиеся не справились.</w:t>
      </w:r>
    </w:p>
    <w:p w:rsidR="00F46D30" w:rsidRPr="00F46D30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D30" w:rsidRP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1F29" w:rsidRPr="000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22"/>
    <w:multiLevelType w:val="hybridMultilevel"/>
    <w:tmpl w:val="9910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16AE5"/>
    <w:multiLevelType w:val="hybridMultilevel"/>
    <w:tmpl w:val="71A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3FB"/>
    <w:multiLevelType w:val="hybridMultilevel"/>
    <w:tmpl w:val="09A6A7C4"/>
    <w:lvl w:ilvl="0" w:tplc="8AE6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7BCC"/>
    <w:multiLevelType w:val="hybridMultilevel"/>
    <w:tmpl w:val="B3E61080"/>
    <w:lvl w:ilvl="0" w:tplc="2DC66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FA"/>
    <w:rsid w:val="00045CFA"/>
    <w:rsid w:val="000E1F29"/>
    <w:rsid w:val="007037C1"/>
    <w:rsid w:val="007C6B6C"/>
    <w:rsid w:val="00B46782"/>
    <w:rsid w:val="00BD40FE"/>
    <w:rsid w:val="00D01578"/>
    <w:rsid w:val="00D151D2"/>
    <w:rsid w:val="00EA54E9"/>
    <w:rsid w:val="00F46D30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Евгения Сергеевна Полещук</cp:lastModifiedBy>
  <cp:revision>2</cp:revision>
  <dcterms:created xsi:type="dcterms:W3CDTF">2013-04-03T13:03:00Z</dcterms:created>
  <dcterms:modified xsi:type="dcterms:W3CDTF">2014-01-23T01:54:00Z</dcterms:modified>
</cp:coreProperties>
</file>